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80" w:after="100"/>
      </w:pPr>
      <w:r>
        <w:rPr>
          <w:rFonts w:ascii="Calibri" w:hAnsi="Calibri"/>
          <w:b/>
          <w:color w:val="41B8C4"/>
          <w:sz w:val="18"/>
        </w:rPr>
        <w:t>ТЕХНОЛОГИЯ / 01</w:t>
      </w:r>
    </w:p>
    <w:p>
      <w:pPr>
        <w:pStyle w:val="Title"/>
        <w:spacing w:line="230" w:lineRule="auto"/>
      </w:pPr>
      <w:r>
        <w:t>Комбинированная рекуперация растворителей</w:t>
      </w:r>
    </w:p>
    <w:p>
      <w:pPr>
        <w:pStyle w:val="Subtitle"/>
      </w:pPr>
      <w:r>
        <w:t>Компрессия · конденсация · мембранное разделение · доочистка</w:t>
      </w:r>
    </w:p>
    <w:p>
      <w:pPr>
        <w:spacing w:before="0" w:after="160"/>
        <w:pBdr>
          <w:bottom w:val="single" w:sz="14" w:space="1" w:color="41B8C4"/>
        </w:pBdr>
      </w:pPr>
    </w:p>
    <w:p>
      <w:pPr>
        <w:spacing w:before="240" w:after="320" w:line="293" w:lineRule="auto"/>
      </w:pPr>
      <w:r>
        <w:rPr>
          <w:color w:val="0B1F33"/>
          <w:sz w:val="28"/>
        </w:rPr>
        <w:t>Русский технический перевод и инженерная редакция исходного обзора. Материал объясняет физический принцип мембранного разделения и логику замкнутого технологического контура для улавливания органических паров.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166"/>
            <w:shd w:fill="EAF4F6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start w:val="single" w:sz="18" w:color="176B87"/>
            </w:tcBorders>
          </w:tcPr>
          <w:p>
            <w:pPr>
              <w:spacing w:after="80"/>
              <w:keepNext/>
              <w:keepLines/>
            </w:pPr>
            <w:r>
              <w:rPr>
                <w:b/>
                <w:color w:val="0B1F33"/>
                <w:sz w:val="21"/>
              </w:rPr>
              <w:t>Статус документа</w:t>
            </w:r>
          </w:p>
          <w:p>
            <w:pPr>
              <w:spacing w:after="0" w:line="259" w:lineRule="auto"/>
            </w:pPr>
            <w:r>
              <w:t>Перевод сохраняет технический смысл исходного китайско-английского материала. Он не является проектной документацией: состав оборудования, материалы, режимы, эффективность и требования промышленной безопасности определяются расчетом по исходным данным.</w:t>
            </w:r>
          </w:p>
        </w:tc>
      </w:tr>
    </w:tbl>
    <w:p>
      <w:r>
        <w:br w:type="page"/>
      </w:r>
    </w:p>
    <w:p>
      <w:pPr>
        <w:pStyle w:val="Heading1"/>
      </w:pPr>
      <w:r>
        <w:t>Карта документа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7632"/>
      </w:tblGrid>
      <w:tr>
        <w:trPr>
          <w:cantSplit/>
        </w:trPr>
        <w:tc>
          <w:tcPr>
            <w:tcW w:type="dxa" w:w="2160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rPr>
                <w:b/>
                <w:color w:val="41B8C4"/>
              </w:rPr>
              <w:t>01</w:t>
            </w:r>
          </w:p>
        </w:tc>
        <w:tc>
          <w:tcPr>
            <w:tcW w:type="dxa" w:w="7632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t>Мембранное разделение: механизм и структура композитной мембраны</w:t>
            </w:r>
          </w:p>
        </w:tc>
      </w:tr>
      <w:tr>
        <w:trPr>
          <w:cantSplit/>
        </w:trPr>
        <w:tc>
          <w:tcPr>
            <w:tcW w:type="dxa" w:w="2160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rPr>
                <w:b/>
                <w:color w:val="41B8C4"/>
              </w:rPr>
              <w:t>02</w:t>
            </w:r>
          </w:p>
        </w:tc>
        <w:tc>
          <w:tcPr>
            <w:tcW w:type="dxa" w:w="7632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t>Почему отдельной ступени часто недостаточно</w:t>
            </w:r>
          </w:p>
        </w:tc>
      </w:tr>
      <w:tr>
        <w:trPr>
          <w:cantSplit/>
        </w:trPr>
        <w:tc>
          <w:tcPr>
            <w:tcW w:type="dxa" w:w="2160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rPr>
                <w:b/>
                <w:color w:val="41B8C4"/>
              </w:rPr>
              <w:t>03</w:t>
            </w:r>
          </w:p>
        </w:tc>
        <w:tc>
          <w:tcPr>
            <w:tcW w:type="dxa" w:w="7632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t>Какие органические пары рассматриваются в источнике</w:t>
            </w:r>
          </w:p>
        </w:tc>
      </w:tr>
      <w:tr>
        <w:trPr>
          <w:cantSplit/>
        </w:trPr>
        <w:tc>
          <w:tcPr>
            <w:tcW w:type="dxa" w:w="2160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rPr>
                <w:b/>
                <w:color w:val="41B8C4"/>
              </w:rPr>
              <w:t>04</w:t>
            </w:r>
          </w:p>
        </w:tc>
        <w:tc>
          <w:tcPr>
            <w:tcW w:type="dxa" w:w="7632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t>Комбинированная схема и движение потоков</w:t>
            </w:r>
          </w:p>
        </w:tc>
      </w:tr>
      <w:tr>
        <w:trPr>
          <w:cantSplit/>
        </w:trPr>
        <w:tc>
          <w:tcPr>
            <w:tcW w:type="dxa" w:w="2160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rPr>
                <w:b/>
                <w:color w:val="41B8C4"/>
              </w:rPr>
              <w:t>05</w:t>
            </w:r>
          </w:p>
        </w:tc>
        <w:tc>
          <w:tcPr>
            <w:tcW w:type="dxa" w:w="7632"/>
            <w:tcMar>
              <w:top w:w="120" w:type="dxa"/>
              <w:start w:w="130" w:type="dxa"/>
              <w:bottom w:w="120" w:type="dxa"/>
              <w:end w:w="130" w:type="dxa"/>
            </w:tcMar>
            <w:tcBorders>
              <w:bottom w:val="single" w:sz="4" w:color="CAD6DE"/>
            </w:tcBorders>
          </w:tcPr>
          <w:p>
            <w:r>
              <w:t>Исходные данные, ограничения и порядок предпроектной проверки</w:t>
            </w:r>
          </w:p>
        </w:tc>
      </w:tr>
    </w:tbl>
    <w:p>
      <w:pPr>
        <w:pStyle w:val="Heading1"/>
      </w:pPr>
      <w:r>
        <w:t>1. Базовый принцип мембранного разделения</w:t>
      </w:r>
    </w:p>
    <w:p>
      <w:r>
        <w:t>Мембранное разделение многокомпонентных газовых смесей получило активное развитие вместе с полимерными материалами. В исходном обзоре к его преимуществам отнесены компактность, сравнительно простая конструкция, удобство монтажа, умеренная масса, низкая потребность в обслуживании и возможность снизить энергозатраты по сравнению с отдельными традиционными схемами. Конкретный эффект всегда зависит от состава смеси, производительности, давления и требуемой степени очистки.</w:t>
      </w:r>
    </w:p>
    <w:p>
      <w:pPr>
        <w:pStyle w:val="Heading2"/>
      </w:pPr>
      <w:r>
        <w:t>Механизм «растворение — диффузия»</w:t>
      </w:r>
    </w:p>
    <w:p>
      <w:r>
        <w:t>На стороне высокого давления молекулы газа растворяются в материале селективного слоя. Разность парциальных давлений по обе стороны мембраны создает движущую силу диффузии. Компоненты с различной растворимостью и скоростью переноса проходят через мембрану неодинаково, благодаря чему поток разделяется на пермеат и ретентат.</w:t>
      </w:r>
    </w:p>
    <w:p>
      <w:pPr>
        <w:spacing w:before="100" w:after="0"/>
        <w:jc w:val="center"/>
        <w:keepNext/>
        <w:keepLines/>
      </w:pPr>
      <w:r>
        <w:drawing>
          <wp:inline xmlns:a="http://schemas.openxmlformats.org/drawingml/2006/main" xmlns:pic="http://schemas.openxmlformats.org/drawingml/2006/picture">
            <wp:extent cx="5120640" cy="3659551"/>
            <wp:docPr id="1" name="Picture 1" title="image1" descr="Рисунок 1. Растворение на стороне высокого давления, диффузия через мембрану и выход на стороне низкого давления. Исходная схема сохранена без технической перерисовк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6595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Рисунок 1. Растворение на стороне высокого давления, диффузия через мембрану и выход на стороне низкого давления. Исходная схема сохранена без технической перерисовки.</w:t>
      </w:r>
    </w:p>
    <w:p>
      <w:pPr>
        <w:spacing w:before="100" w:after="0"/>
        <w:jc w:val="center"/>
        <w:keepNext/>
        <w:keepLines/>
      </w:pPr>
      <w:r>
        <w:drawing>
          <wp:inline xmlns:a="http://schemas.openxmlformats.org/drawingml/2006/main" xmlns:pic="http://schemas.openxmlformats.org/drawingml/2006/picture">
            <wp:extent cx="5394960" cy="1292722"/>
            <wp:docPr id="2" name="Picture 2" title="image2" descr="Рисунок 2. Иллюстрация различной скорости переноса компонентов через мембранный материал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292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Рисунок 2. Иллюстрация различной скорости переноса компонентов через мембранный материал.</w:t>
      </w:r>
    </w:p>
    <w:p>
      <w:pPr>
        <w:pStyle w:val="Heading2"/>
      </w:pPr>
      <w:r>
        <w:t>Структура композитной мембраны</w:t>
      </w:r>
    </w:p>
    <w:p>
      <w:r>
        <w:t>Типовая композитная мембрана, описанная в источнике, состоит из трех функциональных слоев:</w:t>
      </w:r>
    </w:p>
    <w:p>
      <w:pPr>
        <w:pStyle w:val="ListBullet"/>
        <w:spacing w:after="60"/>
        <w:ind w:left="360" w:hanging="230"/>
      </w:pPr>
      <w:r>
        <w:t>Нижний несущий слой из нетканого или тканого материала воспринимает механическую нагрузку.</w:t>
      </w:r>
    </w:p>
    <w:p>
      <w:pPr>
        <w:pStyle w:val="ListBullet"/>
        <w:spacing w:after="60"/>
        <w:ind w:left="360" w:hanging="230"/>
      </w:pPr>
      <w:r>
        <w:t>Пористый полимерный подслой формирует газовые каналы и поддерживает тонкий селективный слой.</w:t>
      </w:r>
    </w:p>
    <w:p>
      <w:pPr>
        <w:pStyle w:val="ListBullet"/>
        <w:spacing w:after="60"/>
        <w:ind w:left="360" w:hanging="230"/>
      </w:pPr>
      <w:r>
        <w:t>Селективный слой из стеклообразного или эластомерного полимера выполняет собственно разделение; указанная в источнике толщина — 0,1–10 мкм.</w:t>
      </w:r>
    </w:p>
    <w:p>
      <w:pPr>
        <w:spacing w:before="100" w:after="0"/>
        <w:jc w:val="center"/>
        <w:keepNext/>
        <w:keepLines/>
      </w:pPr>
      <w:r>
        <w:drawing>
          <wp:inline xmlns:a="http://schemas.openxmlformats.org/drawingml/2006/main" xmlns:pic="http://schemas.openxmlformats.org/drawingml/2006/picture">
            <wp:extent cx="4937760" cy="2572037"/>
            <wp:docPr id="3" name="Picture 3" title="image3" descr="Рисунок 3. Трехслойное строение композитной мембраны по исходному материалу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72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Рисунок 3. Трехслойное строение композитной мембраны по исходному материалу.</w:t>
      </w:r>
    </w:p>
    <w:p>
      <w:pPr>
        <w:pStyle w:val="Heading1"/>
      </w:pPr>
      <w:r>
        <w:t>2. Технологический контекст</w:t>
      </w:r>
    </w:p>
    <w:p>
      <w:r>
        <w:t>Для улавливания растворителей применяют конденсацию, абсорбцию, адсорбцию, переменное давление и термическое обезвреживание. Каждая технология имеет рабочее окно. Поэтому для переменного состава, глубокой очистки или возврата растворителя в процесс целесообразно рассматривать сочетание нескольких ступеней.</w:t>
      </w:r>
    </w:p>
    <w:p>
      <w:pPr>
        <w:pStyle w:val="Heading2"/>
      </w:pPr>
      <w:r>
        <w:t>Сильные стороны и ограничения мембранной ступени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rPr>
          <w:tblHeader/>
        </w:trPr>
        <w:tc>
          <w:tcPr>
            <w:tcW w:type="dxa" w:w="4896"/>
            <w:shd w:fill="0B1F33"/>
          </w:tcPr>
          <w:p>
            <w:r>
              <w:rPr>
                <w:b/>
                <w:color w:val="FFFFFF"/>
              </w:rPr>
              <w:t>Что дает мембранная ступень</w:t>
            </w:r>
          </w:p>
        </w:tc>
        <w:tc>
          <w:tcPr>
            <w:tcW w:type="dxa" w:w="4896"/>
            <w:shd w:fill="0B1F33"/>
          </w:tcPr>
          <w:p>
            <w:r>
              <w:rPr>
                <w:b/>
                <w:color w:val="FFFFFF"/>
              </w:rPr>
              <w:t>Что требует проектной проверки</w:t>
            </w:r>
          </w:p>
        </w:tc>
      </w:tr>
      <w:tr>
        <w:trPr>
          <w:cantSplit/>
        </w:trPr>
        <w:tc>
          <w:tcPr>
            <w:tcW w:type="dxa" w:w="4896"/>
            <w:tcMar>
              <w:top w:w="105" w:type="dxa"/>
              <w:start w:w="115" w:type="dxa"/>
              <w:bottom w:w="105" w:type="dxa"/>
              <w:end w:w="115" w:type="dxa"/>
            </w:tcMar>
            <w:tcBorders>
              <w:bottom w:val="single" w:sz="4" w:color="CAD6DE"/>
            </w:tcBorders>
          </w:tcPr>
          <w:p>
            <w:r>
              <w:t>Компактная модульная компоновка</w:t>
            </w:r>
          </w:p>
        </w:tc>
        <w:tc>
          <w:tcPr>
            <w:tcW w:type="dxa" w:w="4896"/>
            <w:tcMar>
              <w:top w:w="105" w:type="dxa"/>
              <w:start w:w="115" w:type="dxa"/>
              <w:bottom w:w="105" w:type="dxa"/>
              <w:end w:w="115" w:type="dxa"/>
            </w:tcMar>
            <w:tcBorders>
              <w:bottom w:val="single" w:sz="4" w:color="CAD6DE"/>
            </w:tcBorders>
          </w:tcPr>
          <w:p>
            <w:r>
              <w:t>Проницаемость и селективность для фактической смеси</w:t>
            </w:r>
          </w:p>
        </w:tc>
      </w:tr>
      <w:tr>
        <w:trPr>
          <w:cantSplit/>
        </w:trPr>
        <w:tc>
          <w:tcPr>
            <w:tcW w:type="dxa" w:w="4896"/>
            <w:tcMar>
              <w:top w:w="105" w:type="dxa"/>
              <w:start w:w="115" w:type="dxa"/>
              <w:bottom w:w="105" w:type="dxa"/>
              <w:end w:w="115" w:type="dxa"/>
            </w:tcMar>
            <w:tcBorders>
              <w:bottom w:val="single" w:sz="4" w:color="CAD6DE"/>
            </w:tcBorders>
          </w:tcPr>
          <w:p>
            <w:r>
              <w:t>Возможность непрерывной работы</w:t>
            </w:r>
          </w:p>
        </w:tc>
        <w:tc>
          <w:tcPr>
            <w:tcW w:type="dxa" w:w="4896"/>
            <w:tcMar>
              <w:top w:w="105" w:type="dxa"/>
              <w:start w:w="115" w:type="dxa"/>
              <w:bottom w:w="105" w:type="dxa"/>
              <w:end w:w="115" w:type="dxa"/>
            </w:tcMar>
            <w:tcBorders>
              <w:bottom w:val="single" w:sz="4" w:color="CAD6DE"/>
            </w:tcBorders>
          </w:tcPr>
          <w:p>
            <w:r>
              <w:t>Температура, давление и допустимость конденсации в модуле</w:t>
            </w:r>
          </w:p>
        </w:tc>
      </w:tr>
      <w:tr>
        <w:trPr>
          <w:cantSplit/>
        </w:trPr>
        <w:tc>
          <w:tcPr>
            <w:tcW w:type="dxa" w:w="4896"/>
            <w:tcMar>
              <w:top w:w="105" w:type="dxa"/>
              <w:start w:w="115" w:type="dxa"/>
              <w:bottom w:w="105" w:type="dxa"/>
              <w:end w:w="115" w:type="dxa"/>
            </w:tcMar>
            <w:tcBorders>
              <w:bottom w:val="single" w:sz="4" w:color="CAD6DE"/>
            </w:tcBorders>
          </w:tcPr>
          <w:p>
            <w:r>
              <w:t>Возврат растворитель-обогащенного потока</w:t>
            </w:r>
          </w:p>
        </w:tc>
        <w:tc>
          <w:tcPr>
            <w:tcW w:type="dxa" w:w="4896"/>
            <w:tcMar>
              <w:top w:w="105" w:type="dxa"/>
              <w:start w:w="115" w:type="dxa"/>
              <w:bottom w:w="105" w:type="dxa"/>
              <w:end w:w="115" w:type="dxa"/>
            </w:tcMar>
            <w:tcBorders>
              <w:bottom w:val="single" w:sz="4" w:color="CAD6DE"/>
            </w:tcBorders>
          </w:tcPr>
          <w:p>
            <w:r>
              <w:t>Совместимость мембраны с растворителями и примесями</w:t>
            </w:r>
          </w:p>
        </w:tc>
      </w:tr>
      <w:tr>
        <w:trPr>
          <w:cantSplit/>
        </w:trPr>
        <w:tc>
          <w:tcPr>
            <w:tcW w:type="dxa" w:w="4896"/>
            <w:tcMar>
              <w:top w:w="105" w:type="dxa"/>
              <w:start w:w="115" w:type="dxa"/>
              <w:bottom w:w="105" w:type="dxa"/>
              <w:end w:w="115" w:type="dxa"/>
            </w:tcMar>
            <w:tcBorders>
              <w:bottom w:val="single" w:sz="4" w:color="CAD6DE"/>
            </w:tcBorders>
          </w:tcPr>
          <w:p>
            <w:r>
              <w:t>Интеграция с конденсацией и адсорбцией</w:t>
            </w:r>
          </w:p>
        </w:tc>
        <w:tc>
          <w:tcPr>
            <w:tcW w:type="dxa" w:w="4896"/>
            <w:tcMar>
              <w:top w:w="105" w:type="dxa"/>
              <w:start w:w="115" w:type="dxa"/>
              <w:bottom w:w="105" w:type="dxa"/>
              <w:end w:w="115" w:type="dxa"/>
            </w:tcMar>
            <w:tcBorders>
              <w:bottom w:val="single" w:sz="4" w:color="CAD6DE"/>
            </w:tcBorders>
          </w:tcPr>
          <w:p>
            <w:r>
              <w:t>Требуемая степень очистки и судьба каждого выходного потока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166"/>
            <w:shd w:fill="EAF4F6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start w:val="single" w:sz="18" w:color="41B8C4"/>
            </w:tcBorders>
          </w:tcPr>
          <w:p>
            <w:pPr>
              <w:spacing w:after="80"/>
              <w:keepNext/>
              <w:keepLines/>
            </w:pPr>
            <w:r>
              <w:rPr>
                <w:b/>
                <w:color w:val="0B1F33"/>
                <w:sz w:val="21"/>
              </w:rPr>
              <w:t>Ключевое ограничение</w:t>
            </w:r>
          </w:p>
          <w:p>
            <w:pPr>
              <w:spacing w:after="0" w:line="259" w:lineRule="auto"/>
            </w:pPr>
            <w:r>
              <w:t>Одна мембранная ступень обычно не обеспечивает полного разделения всех компонентов. Комбинированная схема распределяет нагрузку между предварительным извлечением, селективным разделением и финишной очисткой.</w:t>
            </w:r>
          </w:p>
        </w:tc>
      </w:tr>
    </w:tbl>
    <w:p>
      <w:pPr>
        <w:pStyle w:val="Heading1"/>
      </w:pPr>
      <w:r>
        <w:t>3. Органические пары, перечисленные в источнике</w:t>
      </w:r>
    </w:p>
    <w:p>
      <w:r>
        <w:t>Исходный обзор рассматривает разделение органических паров между собой и отделение органических компонентов от воздуха или азота. Приведенный перечень описывает область интереса, но не подтверждает совместимость конкретной мембраны без испытаний и данных производителя.</w:t>
      </w:r>
    </w:p>
    <w:p>
      <w:pPr>
        <w:spacing w:before="100" w:after="0"/>
        <w:jc w:val="center"/>
        <w:keepNext/>
        <w:keepLines/>
      </w:pPr>
      <w:r>
        <w:drawing>
          <wp:inline xmlns:a="http://schemas.openxmlformats.org/drawingml/2006/main" xmlns:pic="http://schemas.openxmlformats.org/drawingml/2006/picture">
            <wp:extent cx="5943600" cy="2813906"/>
            <wp:docPr id="4" name="Picture 4" title="image4" descr="Рисунок 4. Таблица растворителей из исходного документа. Формулы и перечень сохранены как данные источника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3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Рисунок 4. Таблица растворителей из исходного документа. Формулы и перечень сохранены как данные источника.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>
          <w:tblHeader/>
        </w:trPr>
        <w:tc>
          <w:tcPr>
            <w:tcW w:type="dxa" w:w="3168"/>
            <w:shd w:fill="0B1F33"/>
          </w:tcPr>
          <w:p>
            <w:r>
              <w:rPr>
                <w:b/>
                <w:color w:val="FFFFFF"/>
              </w:rPr>
              <w:t>Группа</w:t>
            </w:r>
          </w:p>
        </w:tc>
        <w:tc>
          <w:tcPr>
            <w:tcW w:type="dxa" w:w="6623"/>
            <w:shd w:fill="0B1F33"/>
          </w:tcPr>
          <w:p>
            <w:r>
              <w:rPr>
                <w:b/>
                <w:color w:val="FFFFFF"/>
              </w:rPr>
              <w:t>Компоненты из исходного перечня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Кетоны</w:t>
            </w:r>
          </w:p>
        </w:tc>
        <w:tc>
          <w:tcPr>
            <w:tcW w:type="dxa" w:w="66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ацетон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Спирты</w:t>
            </w:r>
          </w:p>
        </w:tc>
        <w:tc>
          <w:tcPr>
            <w:tcW w:type="dxa" w:w="66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метанол, этанол, н-пропанол, изопропанол, бутанол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Ароматические углеводороды</w:t>
            </w:r>
          </w:p>
        </w:tc>
        <w:tc>
          <w:tcPr>
            <w:tcW w:type="dxa" w:w="66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бензол, толуол, ксилол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Хлорорганические соединения</w:t>
            </w:r>
          </w:p>
        </w:tc>
        <w:tc>
          <w:tcPr>
            <w:tcW w:type="dxa" w:w="66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хлороформ, дихлорметан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Сложные эфиры и простые эфиры</w:t>
            </w:r>
          </w:p>
        </w:tc>
        <w:tc>
          <w:tcPr>
            <w:tcW w:type="dxa" w:w="66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этилацетат, бутилацетат, диэтиловый эфир, тетрагидрофуран</w:t>
            </w:r>
          </w:p>
        </w:tc>
      </w:tr>
      <w:tr>
        <w:trPr>
          <w:cantSplit/>
        </w:trPr>
        <w:tc>
          <w:tcPr>
            <w:tcW w:type="dxa" w:w="316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Прочие</w:t>
            </w:r>
          </w:p>
        </w:tc>
        <w:tc>
          <w:tcPr>
            <w:tcW w:type="dxa" w:w="6624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bottom w:val="single" w:sz="4" w:color="CAD6DE"/>
            </w:tcBorders>
          </w:tcPr>
          <w:p>
            <w:r>
              <w:t>анилин, ацетонитрил, ДМФА, циклогексан, формальдегид, триэтиламин, ДМСО</w:t>
            </w:r>
          </w:p>
        </w:tc>
      </w:tr>
    </w:tbl>
    <w:p>
      <w:pPr>
        <w:pStyle w:val="Heading2"/>
      </w:pPr>
      <w:r>
        <w:t>Как разделяется поток</w:t>
      </w:r>
    </w:p>
    <w:p>
      <w:r>
        <w:t>Для ацетона, спиртов, дихлорметана, этилацетата и бутанола исходный документ заявляет скорость переноса, превышающую скорость азота или воздуха в 10–несколько десятков раз. Это иллюстрация принципа, а не универсальная проектная константа. На стороне пермеата формируется поток, обогащенный растворителем; в ретентате увеличивается доля воздуха или азота.</w:t>
      </w:r>
    </w:p>
    <w:p>
      <w:pPr>
        <w:spacing w:before="100" w:after="0"/>
        <w:jc w:val="center"/>
        <w:keepNext/>
        <w:keepLines/>
      </w:pPr>
      <w:r>
        <w:drawing>
          <wp:inline xmlns:a="http://schemas.openxmlformats.org/drawingml/2006/main" xmlns:pic="http://schemas.openxmlformats.org/drawingml/2006/picture">
            <wp:extent cx="5212080" cy="2291024"/>
            <wp:docPr id="5" name="Picture 5" title="image5" descr="Рисунок 5. Исходный поток, ретентат и пермеат в мембранном модуле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29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Рисунок 5. Исходный поток, ретентат и пермеат в мембранном модуле.</w:t>
      </w:r>
    </w:p>
    <w:p>
      <w:pPr>
        <w:spacing w:before="100" w:after="0"/>
        <w:jc w:val="center"/>
        <w:keepNext/>
        <w:keepLines/>
      </w:pPr>
      <w:r>
        <w:drawing>
          <wp:inline xmlns:a="http://schemas.openxmlformats.org/drawingml/2006/main" xmlns:pic="http://schemas.openxmlformats.org/drawingml/2006/picture">
            <wp:extent cx="5212080" cy="3686480"/>
            <wp:docPr id="6" name="Picture 6" title="image6" descr="Рисунок 6. Селективный перенос органического компонента через мембрану по исходной схеме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86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Рисунок 6. Селективный перенос органического компонента через мембрану по исходной схеме.</w:t>
      </w:r>
    </w:p>
    <w:p>
      <w:pPr>
        <w:pStyle w:val="Heading1"/>
      </w:pPr>
      <w:r>
        <w:t>4. Комбинированный контур</w:t>
      </w:r>
    </w:p>
    <w:p>
      <w:r>
        <w:t>В фармацевтическом и тонком химическом производстве растворители могут уходить с газом на операциях хранения, синтеза, перегрузки, сушки, перегонки и концентрации. Комбинированный контур возвращает концентрированные потоки на повторную обработку и передает на финишную ступень только остаточную нагрузку.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8856"/>
      </w:tblGrid>
      <w:tr>
        <w:trPr>
          <w:cantSplit/>
        </w:trPr>
        <w:tc>
          <w:tcPr>
            <w:tcW w:type="dxa" w:w="936"/>
            <w:shd w:fill="176B8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b/>
                <w:color w:val="FFFFFF"/>
              </w:rPr>
              <w:t>01</w:t>
            </w:r>
          </w:p>
        </w:tc>
        <w:tc>
          <w:tcPr>
            <w:tcW w:type="dxa" w:w="8856"/>
            <w:shd w:fill="F4F7F9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b/>
                <w:color w:val="0B1F33"/>
              </w:rPr>
              <w:t>Компрессия</w:t>
            </w:r>
          </w:p>
          <w:p>
            <w:pPr>
              <w:spacing w:after="0"/>
            </w:pPr>
            <w:r>
              <w:t>Давление увеличивают, чтобы повысить парциальное давление растворителя и облегчить последующую конденсацию.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8856"/>
      </w:tblGrid>
      <w:tr>
        <w:trPr>
          <w:cantSplit/>
        </w:trPr>
        <w:tc>
          <w:tcPr>
            <w:tcW w:type="dxa" w:w="936"/>
            <w:shd w:fill="176B8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b/>
                <w:color w:val="FFFFFF"/>
              </w:rPr>
              <w:t>02</w:t>
            </w:r>
          </w:p>
        </w:tc>
        <w:tc>
          <w:tcPr>
            <w:tcW w:type="dxa" w:w="8856"/>
            <w:shd w:fill="F4F7F9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b/>
                <w:color w:val="0B1F33"/>
              </w:rPr>
              <w:t>Конденсация</w:t>
            </w:r>
          </w:p>
          <w:p>
            <w:pPr>
              <w:spacing w:after="0"/>
            </w:pPr>
            <w:r>
              <w:t>В конденсаторе часть растворителя переводится в жидкую фазу, когда его парциальное давление превышает равновесное при заданной температуре.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8856"/>
      </w:tblGrid>
      <w:tr>
        <w:trPr>
          <w:cantSplit/>
        </w:trPr>
        <w:tc>
          <w:tcPr>
            <w:tcW w:type="dxa" w:w="936"/>
            <w:shd w:fill="176B8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b/>
                <w:color w:val="FFFFFF"/>
              </w:rPr>
              <w:t>03</w:t>
            </w:r>
          </w:p>
        </w:tc>
        <w:tc>
          <w:tcPr>
            <w:tcW w:type="dxa" w:w="8856"/>
            <w:shd w:fill="F4F7F9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b/>
                <w:color w:val="0B1F33"/>
              </w:rPr>
              <w:t>Мембранное разделение</w:t>
            </w:r>
          </w:p>
          <w:p>
            <w:pPr>
              <w:spacing w:after="0"/>
            </w:pPr>
            <w:r>
              <w:t>Неконденсированный газ охлаждают и подают в мембранный модуль. Растворитель-обогащенный пермеат возвращают на вход компрессора.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8856"/>
      </w:tblGrid>
      <w:tr>
        <w:trPr>
          <w:cantSplit/>
        </w:trPr>
        <w:tc>
          <w:tcPr>
            <w:tcW w:type="dxa" w:w="936"/>
            <w:shd w:fill="176B8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b/>
                <w:color w:val="FFFFFF"/>
              </w:rPr>
              <w:t>04</w:t>
            </w:r>
          </w:p>
        </w:tc>
        <w:tc>
          <w:tcPr>
            <w:tcW w:type="dxa" w:w="8856"/>
            <w:shd w:fill="F4F7F9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b/>
                <w:color w:val="0B1F33"/>
              </w:rPr>
              <w:t>Доочистка и возврат</w:t>
            </w:r>
          </w:p>
          <w:p>
            <w:pPr>
              <w:spacing w:after="0"/>
            </w:pPr>
            <w:r>
              <w:t>Ретентат с остаточными органическими парами направляют на адсорбционную доочистку; поток десорбции вакуумной системой возвращают в контур.</w:t>
            </w:r>
          </w:p>
        </w:tc>
      </w:tr>
    </w:tbl>
    <w:p>
      <w:pPr>
        <w:spacing w:after="20"/>
      </w:pPr>
    </w:p>
    <w:p>
      <w:pPr>
        <w:spacing w:before="100" w:after="0"/>
        <w:jc w:val="center"/>
        <w:keepNext/>
        <w:keepLines/>
      </w:pPr>
      <w:r>
        <w:drawing>
          <wp:inline xmlns:a="http://schemas.openxmlformats.org/drawingml/2006/main" xmlns:pic="http://schemas.openxmlformats.org/drawingml/2006/picture">
            <wp:extent cx="6035040" cy="2940000"/>
            <wp:docPr id="7" name="Picture 7" title="image7" descr="Рисунок 7. Исходная принципиальная схема комбинированного процесса. Техническая графика не изменена; русский маршрут потоков изложен выше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9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Рисунок 7. Исходная принципиальная схема комбинированного процесса. Техническая графика не изменена; русский маршрут потоков изложен выше.</w:t>
      </w:r>
    </w:p>
    <w:p>
      <w:pPr>
        <w:pStyle w:val="Heading1"/>
      </w:pPr>
      <w:r>
        <w:t>5. Что требуется для предпроектной проработки</w:t>
      </w:r>
    </w:p>
    <w:p>
      <w:r>
        <w:t>Решение нельзя выбирать только по названию растворителя или номинальной производительности насоса. Для баланса потоков и определения оборудования нужны как минимум следующие данные:</w:t>
      </w:r>
    </w:p>
    <w:p>
      <w:pPr>
        <w:pStyle w:val="ListBullet"/>
        <w:spacing w:after="60"/>
        <w:ind w:left="360" w:hanging="230"/>
      </w:pPr>
      <w:r>
        <w:t>состав газа по компонентам, расход — средний, максимальный и профиль по времени;</w:t>
      </w:r>
    </w:p>
    <w:p>
      <w:pPr>
        <w:pStyle w:val="ListBullet"/>
        <w:spacing w:after="60"/>
        <w:ind w:left="360" w:hanging="230"/>
      </w:pPr>
      <w:r>
        <w:t>температура, давление, влажность и наличие капельной фазы на входе;</w:t>
      </w:r>
    </w:p>
    <w:p>
      <w:pPr>
        <w:pStyle w:val="ListBullet"/>
        <w:spacing w:after="60"/>
        <w:ind w:left="360" w:hanging="230"/>
      </w:pPr>
      <w:r>
        <w:t>растворители, их концентрации, возможные реакции, полимеризация или кристаллизация;</w:t>
      </w:r>
    </w:p>
    <w:p>
      <w:pPr>
        <w:pStyle w:val="ListBullet"/>
        <w:spacing w:after="60"/>
        <w:ind w:left="360" w:hanging="230"/>
      </w:pPr>
      <w:r>
        <w:t>пыль, аэрозоли и частицы: размер, массовая нагрузка, липкость;</w:t>
      </w:r>
    </w:p>
    <w:p>
      <w:pPr>
        <w:pStyle w:val="ListBullet"/>
        <w:spacing w:after="60"/>
        <w:ind w:left="360" w:hanging="230"/>
      </w:pPr>
      <w:r>
        <w:t>требуемое рабочее давление и допустимое время откачки;</w:t>
      </w:r>
    </w:p>
    <w:p>
      <w:pPr>
        <w:pStyle w:val="ListBullet"/>
        <w:spacing w:after="60"/>
        <w:ind w:left="360" w:hanging="230"/>
      </w:pPr>
      <w:r>
        <w:t>температура и расход охлаждающей воды, доступные холодоносители;</w:t>
      </w:r>
    </w:p>
    <w:p>
      <w:pPr>
        <w:pStyle w:val="ListBullet"/>
        <w:spacing w:after="60"/>
        <w:ind w:left="360" w:hanging="230"/>
      </w:pPr>
      <w:r>
        <w:t>целевой состав очищенного газа и назначение возвращаемого растворителя;</w:t>
      </w:r>
    </w:p>
    <w:p>
      <w:pPr>
        <w:pStyle w:val="ListBullet"/>
        <w:spacing w:after="60"/>
        <w:ind w:left="360" w:hanging="230"/>
      </w:pPr>
      <w:r>
        <w:t>взрывозащита, категория помещения, ограничения по материалам и герметичности;</w:t>
      </w:r>
    </w:p>
    <w:p>
      <w:pPr>
        <w:pStyle w:val="ListBullet"/>
        <w:spacing w:after="60"/>
        <w:ind w:left="360" w:hanging="230"/>
      </w:pPr>
      <w:r>
        <w:t>режим работы, резервирование, требования к автоматизации и обслуживанию.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166"/>
            <w:shd w:fill="EAF4F6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start w:val="single" w:sz="18" w:color="176B87"/>
            </w:tcBorders>
          </w:tcPr>
          <w:p>
            <w:pPr>
              <w:spacing w:after="80"/>
              <w:keepNext/>
              <w:keepLines/>
            </w:pPr>
            <w:r>
              <w:rPr>
                <w:b/>
                <w:color w:val="0B1F33"/>
                <w:sz w:val="21"/>
              </w:rPr>
              <w:t>Инженерный следующий шаг</w:t>
            </w:r>
          </w:p>
          <w:p>
            <w:pPr>
              <w:spacing w:after="0" w:line="259" w:lineRule="auto"/>
            </w:pPr>
            <w:r>
              <w:t>Заполнить русскую форму обследования, приложить технологическую схему и результаты анализа газа. После этого можно построить материальный баланс, определить рабочее окно каждой ступени и сформировать техническое задание.</w:t>
            </w:r>
          </w:p>
        </w:tc>
      </w:tr>
    </w:tbl>
    <w:p>
      <w:pPr>
        <w:pStyle w:val="Heading1"/>
      </w:pPr>
      <w:r>
        <w:t>6. Границы применения материала</w:t>
      </w:r>
    </w:p>
    <w:p>
      <w:r>
        <w:t>Документ предназначен для технического знакомства и подготовки исходных данных. Он не устанавливает гарантированную эффективность, ресурс мембраны, предельные концентрации, материалы исполнения или соответствие конкретным нормам. Эти параметры должны быть подтверждены расчетом, документацией изготовителя и проектом для фактического объекта.</w:t>
      </w:r>
    </w:p>
    <w:p>
      <w:pPr>
        <w:spacing w:before="160" w:after="0"/>
      </w:pPr>
      <w:r>
        <w:rPr>
          <w:i/>
          <w:color w:val="5B6977"/>
          <w:sz w:val="16"/>
        </w:rPr>
        <w:t>Источник перевода: «Compression + Condensation + Membrane Separation Overview.docx», 6 страниц, предоставлен пользователем 25.08.2026. Технические рисунки воспроизведены из исходного файла. Редакция перевода: 25.08.2026.</w:t>
      </w:r>
    </w:p>
    <w:sectPr>
      <w:headerReference w:type="default" r:id="rId9"/>
      <w:footerReference w:type="default" r:id="rId10"/>
      <w:pgSz w:w="12240" w:h="15840"/>
      <w:pgMar w:top="1037" w:right="1037" w:bottom="1037" w:left="1037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977"/>
        <w:sz w:val="15"/>
      </w:rPr>
      <w:t xml:space="preserve">LEAKLAB VACUUM  •  mail@leaklabvacuum.ru  • 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176B87"/>
        <w:sz w:val="15"/>
      </w:rPr>
      <w:t>ТЕХНИЧЕСКАЯ ЗАПИСКА • ПЕРЕВОД ИСТОЧНИКА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172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B1F3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76B8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0B1F3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pBdr>
        <w:bottom w:val="single" w:sz="8" w:space="4" w:color="4F81BD" w:themeColor="accent1"/>
      </w:pBdr>
      <w:spacing w:after="2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B1F3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40"/>
    </w:pPr>
    <w:rPr>
      <w:rFonts w:asciiTheme="majorHAnsi" w:eastAsiaTheme="majorEastAsia" w:hAnsiTheme="majorHAnsi" w:cstheme="majorBidi" w:ascii="Calibri" w:hAnsi="Calibri"/>
      <w:b w:val="0"/>
      <w:i/>
      <w:iCs/>
      <w:color w:val="5B6977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60" w:after="180"/>
    </w:pPr>
    <w:rPr>
      <w:rFonts w:ascii="Calibri" w:hAnsi="Calibri"/>
      <w:b/>
      <w:bCs/>
      <w:i/>
      <w:color w:val="5B6977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